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9F6EB3">
        <w:rPr>
          <w:rFonts w:ascii="Arial" w:hAnsi="Arial" w:cs="Arial"/>
          <w:b/>
          <w:sz w:val="32"/>
          <w:szCs w:val="32"/>
        </w:rPr>
        <w:t>7</w:t>
      </w:r>
      <w:r w:rsidR="005D1C6D">
        <w:rPr>
          <w:rFonts w:ascii="Arial" w:hAnsi="Arial" w:cs="Arial"/>
          <w:b/>
          <w:sz w:val="32"/>
          <w:szCs w:val="32"/>
        </w:rPr>
        <w:t>8</w:t>
      </w:r>
      <w:r w:rsidR="00CD7B0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4A5744">
        <w:rPr>
          <w:rFonts w:ascii="Arial" w:hAnsi="Arial" w:cs="Arial"/>
          <w:b/>
          <w:sz w:val="32"/>
          <w:szCs w:val="32"/>
        </w:rPr>
        <w:t>Toujours et encore</w:t>
      </w:r>
      <w:r w:rsidR="00094DBC">
        <w:rPr>
          <w:rFonts w:ascii="Arial" w:hAnsi="Arial" w:cs="Arial"/>
          <w:b/>
          <w:sz w:val="32"/>
          <w:szCs w:val="32"/>
        </w:rPr>
        <w:t xml:space="preserve"> à vos pieds</w:t>
      </w:r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835AAD">
        <w:rPr>
          <w:rFonts w:ascii="Arial" w:hAnsi="Arial" w:cs="Arial"/>
          <w:b/>
          <w:bCs/>
          <w:color w:val="000000"/>
        </w:rPr>
        <w:t>Seconde</w:t>
      </w:r>
    </w:p>
    <w:p w:rsidR="00416AE2" w:rsidRPr="00094DBC" w:rsidRDefault="00416AE2" w:rsidP="00094DBC"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094DBC" w:rsidRPr="00094DBC">
        <w:rPr>
          <w:rFonts w:ascii="Arial" w:hAnsi="Arial" w:cs="Arial"/>
          <w:b/>
          <w:bCs/>
          <w:color w:val="000000"/>
        </w:rPr>
        <w:t>Taux d’évolution, Coefficient multiplicateur</w:t>
      </w:r>
    </w:p>
    <w:p w:rsidR="00F81142" w:rsidRDefault="00047F68" w:rsidP="00727FA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835AAD">
        <w:rPr>
          <w:rFonts w:ascii="Arial" w:hAnsi="Arial" w:cs="Arial"/>
          <w:b/>
          <w:bCs/>
          <w:color w:val="000000"/>
        </w:rPr>
        <w:t>2</w:t>
      </w:r>
      <w:r w:rsidR="000F6878">
        <w:rPr>
          <w:rFonts w:ascii="Arial" w:hAnsi="Arial" w:cs="Arial"/>
          <w:b/>
          <w:bCs/>
          <w:color w:val="000000"/>
        </w:rPr>
        <w:t>4/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2B14C2">
        <w:rPr>
          <w:rFonts w:ascii="Arial" w:hAnsi="Arial" w:cs="Arial"/>
          <w:b/>
          <w:bCs/>
          <w:color w:val="000000"/>
        </w:rPr>
        <w:t>4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3301BF" w:rsidRPr="00727FA0" w:rsidRDefault="003301BF" w:rsidP="00727FA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5241F6" w:rsidRPr="005241F6" w:rsidRDefault="00E67DD2" w:rsidP="005241F6">
      <w:r>
        <w:rPr>
          <w:noProof/>
        </w:rPr>
        <w:drawing>
          <wp:inline distT="0" distB="0" distL="0" distR="0">
            <wp:extent cx="6654800" cy="4064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C2E" w:rsidRDefault="00724C2E" w:rsidP="003301B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B1BEA" w:rsidRDefault="00CA2546" w:rsidP="004B1BE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D1C6D">
        <w:rPr>
          <w:rFonts w:ascii="Arial" w:hAnsi="Arial" w:cs="Arial"/>
        </w:rPr>
        <w:t>Simple chaussure ou objet devenu culte, la sneaker, devenue populaire aux Etats-Unis à partir des années 1970</w:t>
      </w:r>
      <w:r w:rsidR="004B1BEA">
        <w:rPr>
          <w:rFonts w:ascii="Arial" w:hAnsi="Arial" w:cs="Arial"/>
        </w:rPr>
        <w:t xml:space="preserve"> avant de se répandre partout ailleurs</w:t>
      </w:r>
      <w:r w:rsidR="00E6310B">
        <w:rPr>
          <w:rFonts w:ascii="Arial" w:hAnsi="Arial" w:cs="Arial"/>
        </w:rPr>
        <w:t>,</w:t>
      </w:r>
      <w:r w:rsidR="005D1C6D">
        <w:rPr>
          <w:rFonts w:ascii="Arial" w:hAnsi="Arial" w:cs="Arial"/>
        </w:rPr>
        <w:t xml:space="preserve"> est devenue </w:t>
      </w:r>
      <w:r w:rsidR="004B1BEA">
        <w:rPr>
          <w:rFonts w:ascii="Arial" w:hAnsi="Arial" w:cs="Arial"/>
        </w:rPr>
        <w:t>en un demi-sièc</w:t>
      </w:r>
      <w:r w:rsidR="00E6310B">
        <w:rPr>
          <w:rFonts w:ascii="Arial" w:hAnsi="Arial" w:cs="Arial"/>
        </w:rPr>
        <w:t>le</w:t>
      </w:r>
      <w:r w:rsidR="004B1BEA">
        <w:rPr>
          <w:rFonts w:ascii="Arial" w:hAnsi="Arial" w:cs="Arial"/>
        </w:rPr>
        <w:t xml:space="preserve"> </w:t>
      </w:r>
      <w:r w:rsidR="005D1C6D">
        <w:rPr>
          <w:rFonts w:ascii="Arial" w:hAnsi="Arial" w:cs="Arial"/>
        </w:rPr>
        <w:t xml:space="preserve">rien de moins que la chaussure la plus vendue dans le monde. </w:t>
      </w:r>
      <w:r w:rsidR="004B1BEA">
        <w:rPr>
          <w:rFonts w:ascii="Arial" w:hAnsi="Arial" w:cs="Arial"/>
        </w:rPr>
        <w:t>Il est probable que la plupart des camarades qui sont autour de vous en portent une paire (regardez, regardez… !). On se propose</w:t>
      </w:r>
      <w:r w:rsidR="0073339E">
        <w:rPr>
          <w:rFonts w:ascii="Arial" w:hAnsi="Arial" w:cs="Arial"/>
        </w:rPr>
        <w:t>, en guise d’hommage à ce que vous portez peut-être à vos pieds,</w:t>
      </w:r>
      <w:r w:rsidR="004B1BEA">
        <w:rPr>
          <w:rFonts w:ascii="Arial" w:hAnsi="Arial" w:cs="Arial"/>
        </w:rPr>
        <w:t xml:space="preserve"> d’analyser comment la croissance de cette chaussure a évolué dans les dernières années… Et comment elle va</w:t>
      </w:r>
      <w:r w:rsidR="00025597">
        <w:rPr>
          <w:rFonts w:ascii="Arial" w:hAnsi="Arial" w:cs="Arial"/>
        </w:rPr>
        <w:t xml:space="preserve"> encore</w:t>
      </w:r>
      <w:r w:rsidR="004B1BEA">
        <w:rPr>
          <w:rFonts w:ascii="Arial" w:hAnsi="Arial" w:cs="Arial"/>
        </w:rPr>
        <w:t xml:space="preserve"> évoluer.</w:t>
      </w:r>
    </w:p>
    <w:p w:rsidR="004B1BEA" w:rsidRDefault="004B1BEA" w:rsidP="005D1C6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9322D" w:rsidRDefault="005D1C6D" w:rsidP="004B1BEA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Représentant un </w:t>
      </w:r>
      <w:r w:rsidR="00115100">
        <w:rPr>
          <w:rFonts w:ascii="Arial" w:hAnsi="Arial" w:cs="Arial"/>
        </w:rPr>
        <w:t xml:space="preserve">volume </w:t>
      </w:r>
      <w:r w:rsidR="004B1BEA">
        <w:rPr>
          <w:rFonts w:ascii="Arial" w:hAnsi="Arial" w:cs="Arial"/>
        </w:rPr>
        <w:t xml:space="preserve">mondial </w:t>
      </w:r>
      <w:r>
        <w:rPr>
          <w:rFonts w:ascii="Arial" w:hAnsi="Arial" w:cs="Arial"/>
        </w:rPr>
        <w:t>de</w:t>
      </w:r>
      <w:r w:rsidR="00115100">
        <w:rPr>
          <w:rFonts w:ascii="Arial" w:hAnsi="Arial" w:cs="Arial"/>
        </w:rPr>
        <w:t xml:space="preserve"> ventes de</w:t>
      </w:r>
      <w:r>
        <w:rPr>
          <w:rFonts w:ascii="Arial" w:hAnsi="Arial" w:cs="Arial"/>
        </w:rPr>
        <w:t xml:space="preserve"> 152,4 milliards de dollars (</w:t>
      </w:r>
      <w:r w:rsidR="00D66786">
        <w:rPr>
          <w:rFonts w:ascii="Arial" w:hAnsi="Arial" w:cs="Arial"/>
        </w:rPr>
        <w:t xml:space="preserve">Md </w:t>
      </w:r>
      <w:r>
        <w:rPr>
          <w:rFonts w:ascii="Arial" w:hAnsi="Arial" w:cs="Arial"/>
        </w:rPr>
        <w:t xml:space="preserve">USD) </w:t>
      </w:r>
      <w:r w:rsidR="001C1719">
        <w:rPr>
          <w:rFonts w:ascii="Arial" w:hAnsi="Arial" w:cs="Arial"/>
        </w:rPr>
        <w:t>s</w:t>
      </w:r>
      <w:r w:rsidR="004B1BEA">
        <w:rPr>
          <w:rFonts w:ascii="Arial" w:hAnsi="Arial" w:cs="Arial"/>
        </w:rPr>
        <w:t>ur toute l’année</w:t>
      </w:r>
      <w:r>
        <w:rPr>
          <w:rFonts w:ascii="Arial" w:hAnsi="Arial" w:cs="Arial"/>
        </w:rPr>
        <w:t xml:space="preserve"> 2022</w:t>
      </w:r>
      <w:r w:rsidR="00FB7471" w:rsidRPr="00FB7471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>,</w:t>
      </w:r>
      <w:r w:rsidR="004B1BEA">
        <w:rPr>
          <w:rFonts w:ascii="Arial" w:hAnsi="Arial" w:cs="Arial"/>
        </w:rPr>
        <w:t xml:space="preserve"> la sneaker a connu des hauts et des bas dans les dernières années notamment à cause de la pandémie du COVID</w:t>
      </w:r>
      <w:r w:rsidR="00115100">
        <w:rPr>
          <w:rFonts w:ascii="Arial" w:hAnsi="Arial" w:cs="Arial"/>
        </w:rPr>
        <w:t>-</w:t>
      </w:r>
      <w:r w:rsidR="004B1BEA">
        <w:rPr>
          <w:rFonts w:ascii="Arial" w:hAnsi="Arial" w:cs="Arial"/>
        </w:rPr>
        <w:t>19 : en</w:t>
      </w:r>
      <w:r w:rsidR="004B1BEA" w:rsidRPr="004B1BEA">
        <w:rPr>
          <w:rFonts w:ascii="Arial" w:hAnsi="Arial" w:cs="Arial"/>
          <w:b/>
          <w:bCs/>
        </w:rPr>
        <w:t xml:space="preserve"> Annexe</w:t>
      </w:r>
      <w:r w:rsidR="004B1BEA">
        <w:rPr>
          <w:rFonts w:ascii="Arial" w:hAnsi="Arial" w:cs="Arial"/>
        </w:rPr>
        <w:t>, on voit ce</w:t>
      </w:r>
      <w:r w:rsidR="001033EF">
        <w:rPr>
          <w:rFonts w:ascii="Arial" w:hAnsi="Arial" w:cs="Arial"/>
        </w:rPr>
        <w:t>tte</w:t>
      </w:r>
      <w:r w:rsidR="004B1BEA">
        <w:rPr>
          <w:rFonts w:ascii="Arial" w:hAnsi="Arial" w:cs="Arial"/>
        </w:rPr>
        <w:t xml:space="preserve"> volatilité avec les taux de croissance annuels depuis 2018</w:t>
      </w:r>
      <w:r w:rsidR="00472AA6">
        <w:rPr>
          <w:rFonts w:ascii="Arial" w:hAnsi="Arial" w:cs="Arial"/>
        </w:rPr>
        <w:t xml:space="preserve"> (chaque taux de croissance indique la hausse ou </w:t>
      </w:r>
      <w:r w:rsidR="00115100">
        <w:rPr>
          <w:rFonts w:ascii="Arial" w:hAnsi="Arial" w:cs="Arial"/>
        </w:rPr>
        <w:t xml:space="preserve">la </w:t>
      </w:r>
      <w:r w:rsidR="00472AA6">
        <w:rPr>
          <w:rFonts w:ascii="Arial" w:hAnsi="Arial" w:cs="Arial"/>
        </w:rPr>
        <w:t xml:space="preserve">baisse </w:t>
      </w:r>
      <w:r w:rsidR="00115100">
        <w:rPr>
          <w:rFonts w:ascii="Arial" w:hAnsi="Arial" w:cs="Arial"/>
        </w:rPr>
        <w:t xml:space="preserve">des ventes </w:t>
      </w:r>
      <w:r w:rsidR="00472AA6">
        <w:rPr>
          <w:rFonts w:ascii="Arial" w:hAnsi="Arial" w:cs="Arial"/>
        </w:rPr>
        <w:t>mondial</w:t>
      </w:r>
      <w:r w:rsidR="00115100">
        <w:rPr>
          <w:rFonts w:ascii="Arial" w:hAnsi="Arial" w:cs="Arial"/>
        </w:rPr>
        <w:t>es</w:t>
      </w:r>
      <w:r w:rsidR="00472AA6">
        <w:rPr>
          <w:rFonts w:ascii="Arial" w:hAnsi="Arial" w:cs="Arial"/>
        </w:rPr>
        <w:t xml:space="preserve"> de sneakers lors d’une année par rapport </w:t>
      </w:r>
      <w:r w:rsidR="00115100">
        <w:rPr>
          <w:rFonts w:ascii="Arial" w:hAnsi="Arial" w:cs="Arial"/>
        </w:rPr>
        <w:t xml:space="preserve">aux </w:t>
      </w:r>
      <w:r w:rsidR="001C1719">
        <w:rPr>
          <w:rFonts w:ascii="Arial" w:hAnsi="Arial" w:cs="Arial"/>
        </w:rPr>
        <w:t>ventes</w:t>
      </w:r>
      <w:r w:rsidR="00115100">
        <w:rPr>
          <w:rFonts w:ascii="Arial" w:hAnsi="Arial" w:cs="Arial"/>
        </w:rPr>
        <w:t xml:space="preserve"> de</w:t>
      </w:r>
      <w:r w:rsidR="00472AA6">
        <w:rPr>
          <w:rFonts w:ascii="Arial" w:hAnsi="Arial" w:cs="Arial"/>
        </w:rPr>
        <w:t xml:space="preserve"> l’année précédente</w:t>
      </w:r>
      <w:r w:rsidR="00115100">
        <w:rPr>
          <w:rFonts w:ascii="Arial" w:hAnsi="Arial" w:cs="Arial"/>
        </w:rPr>
        <w:t>, en Md USD</w:t>
      </w:r>
      <w:r w:rsidR="00472AA6">
        <w:rPr>
          <w:rFonts w:ascii="Arial" w:hAnsi="Arial" w:cs="Arial"/>
        </w:rPr>
        <w:t>).</w:t>
      </w:r>
    </w:p>
    <w:p w:rsidR="00472AA6" w:rsidRDefault="00472AA6" w:rsidP="00472AA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72AA6" w:rsidRPr="00472AA6" w:rsidRDefault="00472AA6" w:rsidP="00472AA6">
      <w:pPr>
        <w:widowControl w:val="0"/>
        <w:spacing w:line="280" w:lineRule="atLeast"/>
        <w:jc w:val="both"/>
        <w:rPr>
          <w:rFonts w:ascii="Arial" w:hAnsi="Arial" w:cs="Arial"/>
          <w:bCs/>
          <w:i/>
          <w:iCs/>
        </w:rPr>
      </w:pPr>
      <w:r w:rsidRPr="00472AA6">
        <w:rPr>
          <w:rFonts w:ascii="Arial" w:hAnsi="Arial" w:cs="Arial"/>
          <w:i/>
          <w:iCs/>
        </w:rPr>
        <w:t xml:space="preserve">Dans ce problème, on exprimera les taux de croissance en %, et </w:t>
      </w:r>
      <w:r w:rsidR="00115100">
        <w:rPr>
          <w:rFonts w:ascii="Arial" w:hAnsi="Arial" w:cs="Arial"/>
          <w:i/>
          <w:iCs/>
        </w:rPr>
        <w:t>les ventes</w:t>
      </w:r>
      <w:r w:rsidRPr="00472AA6">
        <w:rPr>
          <w:rFonts w:ascii="Arial" w:hAnsi="Arial" w:cs="Arial"/>
          <w:i/>
          <w:iCs/>
        </w:rPr>
        <w:t xml:space="preserve"> mondial</w:t>
      </w:r>
      <w:r w:rsidR="00115100">
        <w:rPr>
          <w:rFonts w:ascii="Arial" w:hAnsi="Arial" w:cs="Arial"/>
          <w:i/>
          <w:iCs/>
        </w:rPr>
        <w:t>es</w:t>
      </w:r>
      <w:r w:rsidRPr="00472AA6">
        <w:rPr>
          <w:rFonts w:ascii="Arial" w:hAnsi="Arial" w:cs="Arial"/>
          <w:i/>
          <w:iCs/>
        </w:rPr>
        <w:t xml:space="preserve"> d</w:t>
      </w:r>
      <w:r w:rsidR="00115100">
        <w:rPr>
          <w:rFonts w:ascii="Arial" w:hAnsi="Arial" w:cs="Arial"/>
          <w:i/>
          <w:iCs/>
        </w:rPr>
        <w:t>e</w:t>
      </w:r>
      <w:r w:rsidRPr="00472AA6">
        <w:rPr>
          <w:rFonts w:ascii="Arial" w:hAnsi="Arial" w:cs="Arial"/>
          <w:i/>
          <w:iCs/>
        </w:rPr>
        <w:t xml:space="preserve"> sneakers en milliards de dollars (</w:t>
      </w:r>
      <w:r w:rsidR="00CE13F9">
        <w:rPr>
          <w:rFonts w:ascii="Arial" w:hAnsi="Arial" w:cs="Arial"/>
          <w:i/>
          <w:iCs/>
        </w:rPr>
        <w:t xml:space="preserve">Md </w:t>
      </w:r>
      <w:r w:rsidRPr="00472AA6">
        <w:rPr>
          <w:rFonts w:ascii="Arial" w:hAnsi="Arial" w:cs="Arial"/>
          <w:i/>
          <w:iCs/>
        </w:rPr>
        <w:t>USD). On arrondira les résultats au dixième près.</w:t>
      </w:r>
    </w:p>
    <w:p w:rsidR="004B1BEA" w:rsidRDefault="004B1BEA" w:rsidP="00E9322D">
      <w:pPr>
        <w:widowControl w:val="0"/>
        <w:spacing w:line="280" w:lineRule="atLeast"/>
        <w:rPr>
          <w:rFonts w:ascii="Arial" w:hAnsi="Arial" w:cs="Arial"/>
          <w:bCs/>
        </w:rPr>
      </w:pPr>
    </w:p>
    <w:p w:rsidR="004B1BEA" w:rsidRDefault="004B1BEA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1) </w:t>
      </w:r>
      <w:r w:rsidR="00472AA6">
        <w:rPr>
          <w:rFonts w:ascii="Arial" w:hAnsi="Arial" w:cs="Arial"/>
          <w:bCs/>
        </w:rPr>
        <w:t xml:space="preserve">a) </w:t>
      </w:r>
      <w:r>
        <w:rPr>
          <w:rFonts w:ascii="Arial" w:hAnsi="Arial" w:cs="Arial"/>
          <w:bCs/>
        </w:rPr>
        <w:t xml:space="preserve">Calculer en milliards de dollars </w:t>
      </w:r>
      <w:r w:rsidR="00115100">
        <w:rPr>
          <w:rFonts w:ascii="Arial" w:hAnsi="Arial" w:cs="Arial"/>
          <w:bCs/>
        </w:rPr>
        <w:t>le volume des ventes</w:t>
      </w:r>
      <w:r>
        <w:rPr>
          <w:rFonts w:ascii="Arial" w:hAnsi="Arial" w:cs="Arial"/>
          <w:bCs/>
        </w:rPr>
        <w:t xml:space="preserve"> </w:t>
      </w:r>
      <w:r w:rsidR="00115100">
        <w:rPr>
          <w:rFonts w:ascii="Arial" w:hAnsi="Arial" w:cs="Arial"/>
          <w:bCs/>
        </w:rPr>
        <w:t>de</w:t>
      </w:r>
      <w:r>
        <w:rPr>
          <w:rFonts w:ascii="Arial" w:hAnsi="Arial" w:cs="Arial"/>
          <w:bCs/>
        </w:rPr>
        <w:t xml:space="preserve"> sneaker</w:t>
      </w:r>
      <w:r w:rsidR="00115100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en 2021 et en 2020.</w:t>
      </w:r>
    </w:p>
    <w:p w:rsidR="00472AA6" w:rsidRDefault="00472AA6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</w:p>
    <w:p w:rsidR="00472AA6" w:rsidRDefault="00472AA6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b) Calculer le taux de croissance annuel moyen entre le chiffre de 2020 et le chiffre de 2022.</w:t>
      </w:r>
    </w:p>
    <w:p w:rsidR="004B1BEA" w:rsidRDefault="004B1BEA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</w:p>
    <w:p w:rsidR="004B1BEA" w:rsidRDefault="004B1BEA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 Quel aurait dû être</w:t>
      </w:r>
      <w:r w:rsidR="00472AA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le taux croissance </w:t>
      </w:r>
      <w:r w:rsidR="00472AA6">
        <w:rPr>
          <w:rFonts w:ascii="Arial" w:hAnsi="Arial" w:cs="Arial"/>
          <w:bCs/>
        </w:rPr>
        <w:t xml:space="preserve">annuel en </w:t>
      </w:r>
      <w:r>
        <w:rPr>
          <w:rFonts w:ascii="Arial" w:hAnsi="Arial" w:cs="Arial"/>
          <w:bCs/>
        </w:rPr>
        <w:t>2021 pour que l’année 2021 permette tout juste de récupérer ce qui a été perdu en 2020 ?</w:t>
      </w:r>
    </w:p>
    <w:p w:rsidR="004B1BEA" w:rsidRDefault="004B1BEA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</w:p>
    <w:p w:rsidR="004B1BEA" w:rsidRDefault="00472AA6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4B1BEA">
        <w:rPr>
          <w:rFonts w:ascii="Arial" w:hAnsi="Arial" w:cs="Arial"/>
          <w:bCs/>
        </w:rPr>
        <w:t>) a) Calculer en % le taux de croissance total cumulé entre 2017 et 2022.</w:t>
      </w:r>
    </w:p>
    <w:p w:rsidR="004B1BEA" w:rsidRDefault="004B1BEA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</w:p>
    <w:p w:rsidR="00472AA6" w:rsidRDefault="004B1BEA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Parmi les propositions ci-dessous, lequel de ces taux de croissance représente le mieux le taux de croissance moyen annuel entre </w:t>
      </w:r>
      <w:r w:rsidR="00472AA6">
        <w:rPr>
          <w:rFonts w:ascii="Arial" w:hAnsi="Arial" w:cs="Arial"/>
          <w:bCs/>
        </w:rPr>
        <w:t>2017 et 2022 ?</w:t>
      </w:r>
      <w:r w:rsidR="00C563D6">
        <w:rPr>
          <w:rFonts w:ascii="Arial" w:hAnsi="Arial" w:cs="Arial"/>
          <w:bCs/>
        </w:rPr>
        <w:t xml:space="preserve"> Justifier </w:t>
      </w:r>
      <w:r w:rsidR="00277BA6">
        <w:rPr>
          <w:rFonts w:ascii="Arial" w:hAnsi="Arial" w:cs="Arial"/>
          <w:bCs/>
        </w:rPr>
        <w:t>le</w:t>
      </w:r>
      <w:r w:rsidR="00C563D6">
        <w:rPr>
          <w:rFonts w:ascii="Arial" w:hAnsi="Arial" w:cs="Arial"/>
          <w:bCs/>
        </w:rPr>
        <w:t xml:space="preserve"> choix.</w:t>
      </w:r>
    </w:p>
    <w:p w:rsidR="00E01E4B" w:rsidRDefault="00E01E4B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</w:p>
    <w:p w:rsidR="00E01E4B" w:rsidRDefault="003E0F40" w:rsidP="003E0F40">
      <w:pPr>
        <w:widowControl w:val="0"/>
        <w:spacing w:line="280" w:lineRule="atLeast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 </w:t>
      </w:r>
      <w:r w:rsidR="00247FE9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2,7%                        </w:t>
      </w:r>
      <w:r w:rsidR="00247FE9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3,8%                       </w:t>
      </w:r>
      <w:r w:rsidR="00247FE9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4,6%                      </w:t>
      </w:r>
      <w:r w:rsidR="00247FE9">
        <w:rPr>
          <w:rFonts w:ascii="Arial" w:hAnsi="Arial" w:cs="Arial"/>
        </w:rPr>
        <w:t>+</w:t>
      </w:r>
      <w:r>
        <w:rPr>
          <w:rFonts w:ascii="Arial" w:hAnsi="Arial" w:cs="Arial"/>
        </w:rPr>
        <w:t>6,1%</w:t>
      </w:r>
    </w:p>
    <w:p w:rsidR="004B1BEA" w:rsidRDefault="004B1BEA" w:rsidP="003E0F40">
      <w:pPr>
        <w:widowControl w:val="0"/>
        <w:spacing w:line="280" w:lineRule="atLeast"/>
        <w:jc w:val="center"/>
        <w:rPr>
          <w:rFonts w:ascii="Arial" w:hAnsi="Arial" w:cs="Arial"/>
          <w:bCs/>
        </w:rPr>
      </w:pPr>
    </w:p>
    <w:p w:rsidR="00472AA6" w:rsidRDefault="00472AA6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4B1BEA">
        <w:rPr>
          <w:rFonts w:ascii="Arial" w:hAnsi="Arial" w:cs="Arial"/>
          <w:bCs/>
        </w:rPr>
        <w:t xml:space="preserve">) </w:t>
      </w:r>
      <w:r>
        <w:rPr>
          <w:rFonts w:ascii="Arial" w:hAnsi="Arial" w:cs="Arial"/>
        </w:rPr>
        <w:t>La croissance prévue de ce marché dans les années à venir, jusqu’à fin 2027, est d’environ 3,6% par an.</w:t>
      </w:r>
    </w:p>
    <w:p w:rsidR="003E0F40" w:rsidRDefault="003E0F40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</w:p>
    <w:p w:rsidR="00472AA6" w:rsidRDefault="000D0930" w:rsidP="00472AA6">
      <w:pPr>
        <w:widowControl w:val="0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Comparer le résultat obtenu à celui </w:t>
      </w:r>
      <w:r w:rsidR="00A62571">
        <w:rPr>
          <w:rFonts w:ascii="Arial" w:hAnsi="Arial" w:cs="Arial"/>
          <w:bCs/>
        </w:rPr>
        <w:t>trouvé</w:t>
      </w:r>
      <w:r>
        <w:rPr>
          <w:rFonts w:ascii="Arial" w:hAnsi="Arial" w:cs="Arial"/>
          <w:bCs/>
        </w:rPr>
        <w:t xml:space="preserve"> en </w:t>
      </w:r>
      <w:r w:rsidR="00A62571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.</w:t>
      </w:r>
      <w:r w:rsidR="00A62571">
        <w:rPr>
          <w:rFonts w:ascii="Arial" w:hAnsi="Arial" w:cs="Arial"/>
          <w:bCs/>
        </w:rPr>
        <w:t>b</w:t>
      </w:r>
      <w:r>
        <w:rPr>
          <w:rFonts w:ascii="Arial" w:hAnsi="Arial" w:cs="Arial"/>
          <w:bCs/>
        </w:rPr>
        <w:t xml:space="preserve">) </w:t>
      </w:r>
      <w:r w:rsidR="003E0F40">
        <w:rPr>
          <w:rFonts w:ascii="Arial" w:hAnsi="Arial" w:cs="Arial"/>
          <w:bCs/>
        </w:rPr>
        <w:t>et conclure</w:t>
      </w:r>
      <w:r w:rsidR="00115100">
        <w:rPr>
          <w:rFonts w:ascii="Arial" w:hAnsi="Arial" w:cs="Arial"/>
          <w:bCs/>
        </w:rPr>
        <w:t xml:space="preserve"> sur l’évolution globale des ventes.</w:t>
      </w:r>
    </w:p>
    <w:p w:rsidR="004B1BEA" w:rsidRDefault="004B1BEA" w:rsidP="00E9322D">
      <w:pPr>
        <w:widowControl w:val="0"/>
        <w:spacing w:line="280" w:lineRule="atLeast"/>
        <w:rPr>
          <w:rFonts w:ascii="Arial" w:hAnsi="Arial" w:cs="Arial"/>
          <w:bCs/>
        </w:rPr>
      </w:pPr>
    </w:p>
    <w:p w:rsidR="00791C95" w:rsidRDefault="00791C95" w:rsidP="00791C95">
      <w:pPr>
        <w:widowControl w:val="0"/>
        <w:spacing w:line="280" w:lineRule="atLeast"/>
        <w:jc w:val="center"/>
        <w:rPr>
          <w:rFonts w:ascii="Arial" w:hAnsi="Arial" w:cs="Arial"/>
          <w:b/>
        </w:rPr>
      </w:pPr>
    </w:p>
    <w:p w:rsidR="004B1BEA" w:rsidRPr="00791C95" w:rsidRDefault="00791C95" w:rsidP="00791C95">
      <w:pPr>
        <w:widowControl w:val="0"/>
        <w:spacing w:line="280" w:lineRule="atLeast"/>
        <w:jc w:val="center"/>
        <w:rPr>
          <w:rFonts w:ascii="Arial" w:hAnsi="Arial" w:cs="Arial"/>
          <w:b/>
        </w:rPr>
      </w:pPr>
      <w:r w:rsidRPr="00791C95">
        <w:rPr>
          <w:rFonts w:ascii="Arial" w:hAnsi="Arial" w:cs="Arial"/>
          <w:b/>
        </w:rPr>
        <w:t>Annexe</w:t>
      </w:r>
    </w:p>
    <w:p w:rsidR="00791C95" w:rsidRDefault="00791C95" w:rsidP="00E9322D">
      <w:pPr>
        <w:widowControl w:val="0"/>
        <w:spacing w:line="280" w:lineRule="atLeast"/>
        <w:rPr>
          <w:rFonts w:ascii="Arial" w:hAnsi="Arial" w:cs="Arial"/>
          <w:bCs/>
        </w:rPr>
      </w:pPr>
    </w:p>
    <w:p w:rsidR="00791C95" w:rsidRDefault="00791C95" w:rsidP="00E9322D">
      <w:pPr>
        <w:widowControl w:val="0"/>
        <w:spacing w:line="280" w:lineRule="atLeast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6E67C9D9" wp14:editId="0F5B524E">
            <wp:extent cx="6659880" cy="3755390"/>
            <wp:effectExtent l="0" t="0" r="7620" b="16510"/>
            <wp:docPr id="3" name="Graphique 3">
              <a:extLst xmlns:a="http://schemas.openxmlformats.org/drawingml/2006/main">
                <a:ext uri="{FF2B5EF4-FFF2-40B4-BE49-F238E27FC236}">
                  <a16:creationId xmlns:a16="http://schemas.microsoft.com/office/drawing/2014/main" id="{9CE53479-50E8-3146-B305-BA43E4E886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B1BEA" w:rsidRDefault="004B1BEA" w:rsidP="00E9322D">
      <w:pPr>
        <w:widowControl w:val="0"/>
        <w:spacing w:line="280" w:lineRule="atLeast"/>
        <w:rPr>
          <w:rFonts w:ascii="Arial" w:hAnsi="Arial" w:cs="Arial"/>
          <w:bCs/>
        </w:rPr>
      </w:pPr>
    </w:p>
    <w:p w:rsidR="004B1BEA" w:rsidRPr="00C47669" w:rsidRDefault="004B1BEA" w:rsidP="004B1BEA">
      <w:pPr>
        <w:widowControl w:val="0"/>
        <w:spacing w:line="280" w:lineRule="atLeast"/>
        <w:rPr>
          <w:rFonts w:ascii="Arial" w:hAnsi="Arial" w:cs="Arial"/>
          <w:bCs/>
        </w:rPr>
      </w:pPr>
    </w:p>
    <w:p w:rsidR="004B1BEA" w:rsidRPr="002E1663" w:rsidRDefault="00E864EC" w:rsidP="00E9322D">
      <w:pPr>
        <w:widowControl w:val="0"/>
        <w:spacing w:line="280" w:lineRule="atLeast"/>
        <w:rPr>
          <w:rFonts w:ascii="Arial" w:hAnsi="Arial" w:cs="Arial"/>
          <w:bCs/>
          <w:i/>
          <w:iCs/>
          <w:sz w:val="18"/>
          <w:szCs w:val="18"/>
        </w:rPr>
      </w:pPr>
      <w:r w:rsidRPr="002E1663">
        <w:rPr>
          <w:rFonts w:ascii="Arial" w:hAnsi="Arial" w:cs="Arial"/>
          <w:i/>
          <w:iCs/>
          <w:sz w:val="18"/>
          <w:szCs w:val="18"/>
        </w:rPr>
        <w:t>(*) Source :</w:t>
      </w:r>
      <w:r w:rsidRPr="002E1663">
        <w:rPr>
          <w:i/>
          <w:iCs/>
          <w:sz w:val="18"/>
          <w:szCs w:val="18"/>
        </w:rPr>
        <w:t xml:space="preserve"> </w:t>
      </w:r>
      <w:hyperlink r:id="rId10" w:history="1">
        <w:r w:rsidRPr="002E1663">
          <w:rPr>
            <w:rStyle w:val="Lienhypertexte"/>
            <w:rFonts w:ascii="Arial" w:hAnsi="Arial" w:cs="Arial"/>
            <w:bCs/>
            <w:i/>
            <w:iCs/>
            <w:sz w:val="18"/>
            <w:szCs w:val="18"/>
          </w:rPr>
          <w:t>https://hypebeast.com/2023/1/global-sneaker-sales-decline-market-downturn-info</w:t>
        </w:r>
      </w:hyperlink>
      <w:r w:rsidR="00E01E4B" w:rsidRPr="002E1663">
        <w:rPr>
          <w:rFonts w:ascii="Arial" w:hAnsi="Arial" w:cs="Arial"/>
          <w:bCs/>
          <w:i/>
          <w:iCs/>
          <w:sz w:val="18"/>
          <w:szCs w:val="18"/>
        </w:rPr>
        <w:t xml:space="preserve"> </w:t>
      </w:r>
    </w:p>
    <w:sectPr w:rsidR="004B1BEA" w:rsidRPr="002E1663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0417" w:rsidRDefault="008A0417">
      <w:r>
        <w:separator/>
      </w:r>
    </w:p>
  </w:endnote>
  <w:endnote w:type="continuationSeparator" w:id="0">
    <w:p w:rsidR="008A0417" w:rsidRDefault="008A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0417" w:rsidRDefault="008A0417">
      <w:r>
        <w:separator/>
      </w:r>
    </w:p>
  </w:footnote>
  <w:footnote w:type="continuationSeparator" w:id="0">
    <w:p w:rsidR="008A0417" w:rsidRDefault="008A0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7"/>
  </w:num>
  <w:num w:numId="5">
    <w:abstractNumId w:val="2"/>
  </w:num>
  <w:num w:numId="6">
    <w:abstractNumId w:val="0"/>
  </w:num>
  <w:num w:numId="7">
    <w:abstractNumId w:val="12"/>
  </w:num>
  <w:num w:numId="8">
    <w:abstractNumId w:val="14"/>
  </w:num>
  <w:num w:numId="9">
    <w:abstractNumId w:val="9"/>
  </w:num>
  <w:num w:numId="10">
    <w:abstractNumId w:val="4"/>
  </w:num>
  <w:num w:numId="11">
    <w:abstractNumId w:val="15"/>
  </w:num>
  <w:num w:numId="12">
    <w:abstractNumId w:val="11"/>
  </w:num>
  <w:num w:numId="13">
    <w:abstractNumId w:val="5"/>
  </w:num>
  <w:num w:numId="14">
    <w:abstractNumId w:val="7"/>
  </w:num>
  <w:num w:numId="15">
    <w:abstractNumId w:val="13"/>
  </w:num>
  <w:num w:numId="16">
    <w:abstractNumId w:val="6"/>
  </w:num>
  <w:num w:numId="17">
    <w:abstractNumId w:val="1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597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4DBC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0930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6878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EF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0"/>
    <w:rsid w:val="0011510F"/>
    <w:rsid w:val="00115415"/>
    <w:rsid w:val="00115C40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3E3"/>
    <w:rsid w:val="0012540D"/>
    <w:rsid w:val="00125D29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719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47FE9"/>
    <w:rsid w:val="002502AB"/>
    <w:rsid w:val="00250A73"/>
    <w:rsid w:val="00251533"/>
    <w:rsid w:val="00251980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AD9"/>
    <w:rsid w:val="00270DC0"/>
    <w:rsid w:val="00270F89"/>
    <w:rsid w:val="002717D7"/>
    <w:rsid w:val="00271D05"/>
    <w:rsid w:val="00271DEB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BA6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663"/>
    <w:rsid w:val="002E1B29"/>
    <w:rsid w:val="002E1E18"/>
    <w:rsid w:val="002E2973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38A3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0F40"/>
    <w:rsid w:val="003E1764"/>
    <w:rsid w:val="003E181D"/>
    <w:rsid w:val="003E1B4A"/>
    <w:rsid w:val="003E23B7"/>
    <w:rsid w:val="003E2617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8A3"/>
    <w:rsid w:val="003E7FB0"/>
    <w:rsid w:val="003F051E"/>
    <w:rsid w:val="003F0CBC"/>
    <w:rsid w:val="003F0EFA"/>
    <w:rsid w:val="003F1351"/>
    <w:rsid w:val="003F13D7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702"/>
    <w:rsid w:val="00470A12"/>
    <w:rsid w:val="00470C71"/>
    <w:rsid w:val="00470E80"/>
    <w:rsid w:val="00471A7F"/>
    <w:rsid w:val="00472213"/>
    <w:rsid w:val="0047245A"/>
    <w:rsid w:val="00472708"/>
    <w:rsid w:val="004728FE"/>
    <w:rsid w:val="00472AA6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744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BEA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BDA"/>
    <w:rsid w:val="004C7D42"/>
    <w:rsid w:val="004D03F3"/>
    <w:rsid w:val="004D0E64"/>
    <w:rsid w:val="004D12EE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DF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325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36D1"/>
    <w:rsid w:val="005241F6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9D2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9A"/>
    <w:rsid w:val="00594F98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7AB"/>
    <w:rsid w:val="005B3C9C"/>
    <w:rsid w:val="005B3DF8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1C6D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B2B"/>
    <w:rsid w:val="006116D5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6FBB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57F65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4BB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C2E"/>
    <w:rsid w:val="00725A28"/>
    <w:rsid w:val="00725C65"/>
    <w:rsid w:val="0072720E"/>
    <w:rsid w:val="00727505"/>
    <w:rsid w:val="00727A03"/>
    <w:rsid w:val="00727FA0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39E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C9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8F1"/>
    <w:rsid w:val="00812B3D"/>
    <w:rsid w:val="00813728"/>
    <w:rsid w:val="008148E3"/>
    <w:rsid w:val="00814ABC"/>
    <w:rsid w:val="008153AE"/>
    <w:rsid w:val="0081555C"/>
    <w:rsid w:val="0081639A"/>
    <w:rsid w:val="00816D0B"/>
    <w:rsid w:val="008176BE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60690"/>
    <w:rsid w:val="00860DF8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417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7F"/>
    <w:rsid w:val="008B4898"/>
    <w:rsid w:val="008B540F"/>
    <w:rsid w:val="008B5828"/>
    <w:rsid w:val="008B5846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3C0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6A0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CF3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2571"/>
    <w:rsid w:val="00A629EB"/>
    <w:rsid w:val="00A6311E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4098"/>
    <w:rsid w:val="00A7440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6F8E"/>
    <w:rsid w:val="00A97CA6"/>
    <w:rsid w:val="00A97D6E"/>
    <w:rsid w:val="00AA034D"/>
    <w:rsid w:val="00AA05EF"/>
    <w:rsid w:val="00AA06A5"/>
    <w:rsid w:val="00AA0C67"/>
    <w:rsid w:val="00AA0CD9"/>
    <w:rsid w:val="00AA10FC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41FA"/>
    <w:rsid w:val="00AB4480"/>
    <w:rsid w:val="00AB479A"/>
    <w:rsid w:val="00AB47F6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00F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2C2C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89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2A0"/>
    <w:rsid w:val="00C038A4"/>
    <w:rsid w:val="00C039AD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6FEF"/>
    <w:rsid w:val="00C172DE"/>
    <w:rsid w:val="00C1737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3D6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DCA"/>
    <w:rsid w:val="00C63FA5"/>
    <w:rsid w:val="00C63FB3"/>
    <w:rsid w:val="00C644E0"/>
    <w:rsid w:val="00C64874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B06"/>
    <w:rsid w:val="00CD7E00"/>
    <w:rsid w:val="00CE05D6"/>
    <w:rsid w:val="00CE0FA5"/>
    <w:rsid w:val="00CE121F"/>
    <w:rsid w:val="00CE13F9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786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A0"/>
    <w:rsid w:val="00E001B1"/>
    <w:rsid w:val="00E002B8"/>
    <w:rsid w:val="00E00879"/>
    <w:rsid w:val="00E00D03"/>
    <w:rsid w:val="00E00DDD"/>
    <w:rsid w:val="00E0108D"/>
    <w:rsid w:val="00E019B7"/>
    <w:rsid w:val="00E01E4B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0B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67DD2"/>
    <w:rsid w:val="00E70130"/>
    <w:rsid w:val="00E7018F"/>
    <w:rsid w:val="00E7019C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4EC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B0F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76"/>
    <w:rsid w:val="00FB655D"/>
    <w:rsid w:val="00FB6A9D"/>
    <w:rsid w:val="00FB71B5"/>
    <w:rsid w:val="00FB7352"/>
    <w:rsid w:val="00FB7471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E0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hypebeast.com/2023/1/global-sneaker-sales-decline-market-downturn-info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Classeur1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1400" b="1">
                <a:latin typeface="Arial" panose="020B0604020202020204" pitchFamily="34" charset="0"/>
                <a:cs typeface="Arial" panose="020B0604020202020204" pitchFamily="34" charset="0"/>
              </a:rPr>
              <a:t>Evolution des ventes</a:t>
            </a:r>
            <a:r>
              <a:rPr lang="en-US" sz="1400" b="1" baseline="0">
                <a:latin typeface="Arial" panose="020B0604020202020204" pitchFamily="34" charset="0"/>
                <a:cs typeface="Arial" panose="020B0604020202020204" pitchFamily="34" charset="0"/>
              </a:rPr>
              <a:t> mondiales de sneakers</a:t>
            </a:r>
            <a:br>
              <a:rPr lang="en-US" sz="1400" b="1" baseline="0">
                <a:latin typeface="Arial" panose="020B0604020202020204" pitchFamily="34" charset="0"/>
                <a:cs typeface="Arial" panose="020B0604020202020204" pitchFamily="34" charset="0"/>
              </a:rPr>
            </a:br>
            <a:r>
              <a:rPr lang="en-US" sz="1400" b="1" baseline="0">
                <a:latin typeface="Arial" panose="020B0604020202020204" pitchFamily="34" charset="0"/>
                <a:cs typeface="Arial" panose="020B0604020202020204" pitchFamily="34" charset="0"/>
              </a:rPr>
              <a:t>(</a:t>
            </a:r>
            <a:r>
              <a:rPr lang="en-US" sz="1400" b="1">
                <a:latin typeface="Arial" panose="020B0604020202020204" pitchFamily="34" charset="0"/>
                <a:cs typeface="Arial" panose="020B0604020202020204" pitchFamily="34" charset="0"/>
              </a:rPr>
              <a:t>en % par rapport à l'année précédente)</a:t>
            </a:r>
            <a:r>
              <a:rPr lang="en-US" sz="1400" b="1" baseline="30000">
                <a:latin typeface="Arial" panose="020B0604020202020204" pitchFamily="34" charset="0"/>
                <a:cs typeface="Arial" panose="020B0604020202020204" pitchFamily="34" charset="0"/>
              </a:rPr>
              <a:t>(*)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fr-F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Evolution en % par rapport à l'année précédente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E17D-0D42-9CB2-1A454BB2C30A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17D-0D42-9CB2-1A454BB2C30A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+</a:t>
                    </a:r>
                    <a:fld id="{D535DC66-B5F4-754A-8455-17D9C8F72B4E}" type="VALUE">
                      <a:rPr lang="en-US"/>
                      <a:pPr/>
                      <a:t>[VALEUR]</a:t>
                    </a:fld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E17D-0D42-9CB2-1A454BB2C30A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+</a:t>
                    </a:r>
                    <a:fld id="{C7614C8F-2430-CF4F-AF27-C91180A435F3}" type="VALUE">
                      <a:rPr lang="en-US"/>
                      <a:pPr/>
                      <a:t>[VALEUR]</a:t>
                    </a:fld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E17D-0D42-9CB2-1A454BB2C30A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+</a:t>
                    </a:r>
                    <a:fld id="{FE39FBFB-B349-914F-A699-4782B9A95226}" type="VALUE">
                      <a:rPr lang="en-US"/>
                      <a:pPr/>
                      <a:t>[VALEUR]</a:t>
                    </a:fld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17D-0D42-9CB2-1A454BB2C30A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+</a:t>
                    </a:r>
                    <a:fld id="{BEE965CD-1E2F-A749-8FC3-5B379A6B586A}" type="VALUE">
                      <a:rPr lang="en-US"/>
                      <a:pPr/>
                      <a:t>[VALEUR]</a:t>
                    </a:fld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E17D-0D42-9CB2-1A454BB2C30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Feuil1!$A$2:$A$6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Feuil1!$B$2:$B$6</c:f>
              <c:numCache>
                <c:formatCode>0.0%</c:formatCode>
                <c:ptCount val="5"/>
                <c:pt idx="0">
                  <c:v>9.5000000000000001E-2</c:v>
                </c:pt>
                <c:pt idx="1">
                  <c:v>5.7000000000000002E-2</c:v>
                </c:pt>
                <c:pt idx="2">
                  <c:v>-0.12</c:v>
                </c:pt>
                <c:pt idx="3">
                  <c:v>0.19500000000000001</c:v>
                </c:pt>
                <c:pt idx="4">
                  <c:v>2.7E-2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17D-0D42-9CB2-1A454BB2C3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4762304"/>
        <c:axId val="840760432"/>
      </c:barChart>
      <c:catAx>
        <c:axId val="764762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840760432"/>
        <c:crosses val="autoZero"/>
        <c:auto val="1"/>
        <c:lblAlgn val="ctr"/>
        <c:lblOffset val="100"/>
        <c:noMultiLvlLbl val="0"/>
      </c:catAx>
      <c:valAx>
        <c:axId val="840760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7647623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F6AA-E540-45F6-892E-85BEA3EA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2023-04-24T18:30:00Z</cp:lastPrinted>
  <dcterms:created xsi:type="dcterms:W3CDTF">2023-04-24T18:30:00Z</dcterms:created>
  <dcterms:modified xsi:type="dcterms:W3CDTF">2023-04-24T18:36:00Z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